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2009/2 vom 10. Dezember 2009</w:t>
      </w:r>
    </w:p>
    <w:p>
      <w:r>
        <w:t>Sg Versicherungsgericht, 2009-12-10, DE</w:t>
      </w:r>
    </w:p>
    <w:p>
      <w:r>
        <w:rPr>
          <w:b/>
        </w:rPr>
        <w:t xml:space="preserve">Quelle: </w:t>
      </w:r>
      <w:r>
        <w:t>https://mcp.opencaselaw.ch/entscheid/sg_publikationen_ABV 2009_2</w:t>
      </w:r>
    </w:p>
    <w:p>
      <w:r>
        <w:t>FR: SG_VERSICHERUNGSGERICHT ABV 2009/2 du 10 décembre 2009</w:t>
      </w:r>
    </w:p>
    <w:p>
      <w:r>
        <w:t>IT: SG_VERSICHERUNGSGERICHT ABV 2009/2 del 10 dicembre 2009</w:t>
      </w:r>
    </w:p>
    <w:p>
      <w:pPr>
        <w:pStyle w:val="Heading2"/>
      </w:pPr>
      <w:r>
        <w:t>Regeste</w:t>
      </w:r>
    </w:p>
    <w:p>
      <w:r>
        <w:t>Art. 4bis Abs. 1 GIVU. Anrechenbares Einkommen und Vermögen des Konkubinatspartners bei der Alimentenbevorschussung. Die Begründung einer Wohngemeinschaft im Rahmen einer Liebesbeziehung genügt für das Vorliegen eines Konkubinats im Sinn des GIVU. Für die Berechnung der Alimentenbevorschussung sind die SKOS-Richtlinien nicht verbindlich (Entscheid des Versicherungsgerichts des Kantons St. Gallen vom 10. Dezember 2009, ABV 2009/2).</w:t>
      </w:r>
    </w:p>
    <w:p>
      <w:pPr>
        <w:pStyle w:val="Heading2"/>
      </w:pPr>
      <w:r>
        <w:t>Erwägungen</w:t>
      </w:r>
    </w:p>
    <w:p>
      <w:r>
        <w:rPr>
          <w:b/>
        </w:rPr>
        <w:t>E. 1</w:t>
      </w:r>
    </w:p>
    <w:p>
      <w:r>
        <w:t>1.1   Gemäss Art. 2 Abs. 1 des Gesetzes über Inkassohilfe und Vorschüsse für Unterhaltsbeiträge (GIVU; sGS 911.51) hat ein Kind für die Dauer der Unterhaltspflicht der Eltern, längstens bis zum vollendeten 25. Altersjahr, Anspruch auf Vorschüsse für elterliche Unterhaltsbeiträge, wenn diese in einem vollstreckbaren Urteil oder in einem Unterhaltsvertrag nach Art. 287 des Schweizerischen Zivilgesetzbuches (ZGB; SR 210) festgesetzt sind (lit. a) und trotz angemessener Inkassoversuche nicht rechtzeitig eingehen (lit. b). Der Unterhaltsbeitrag wird bis zum Betrag der höchsten Waisenrente der eidgenössischen Alters- und Hinterlassenenversicherung bevorschusst, wenn das anrechenbare Einkommen das Mindesteinkommen nicht übersteigt (Art. 4 Abs. 1 lit. a GIVU). Nur teilweise werden die Unterhaltsbeiträge bevorschusst, wenn das anrechenbare Einkommen die Bevorschussungsgrenze nicht übersteigt (Art. 4 lit. b GIVU). Anrechenbar ist das Einkommen des obhutsberechtigten Elternteils, des Konkubinatspartners, des Stiefelternteils und des eingetragenen Partners (Art. 4 bis Abs. 1 GIVU). Das Mindesteinkommen entspricht beim alleinstehenden obhutsberechtigten Elternteil dem doppelten Betrag des für Alleinstehende massgebenden allgemeinen Lebensbedarfs für ordentliche Ergänzungsleistungen, erhöht um einen Zwanzigstel (Art. 4 ter Abs. 1 lit. a GIVU). Beim verheirateten, in einer eingetragenen Partnerschaft oder im Konkubinat lebenden obhutsberechtigten Elternteil entspricht das Mindesteinkommen dem doppelten Betrag des für Ehepaare und für eingetragene Partner massgebenden allgemeinen Lebensbedarfs für ordentliche Ergänzungsleistungen, erhöht um einen Zwanzigstel (Art. 4 ter Abs. 1 lit. b GIVU). Die Bevorschussungsgrenze entspricht gemäss Art. 4 quater GIVU dem Mindesteinkommen zuzüglich des um einen Zwanzigstel erhöhten Betrags des für Alleinstehende massgebenden Lebensbedarfs für ordentliche Ergänzungsleistungen. 1.2   Mit den Vorschriften über die Berücksichtigung der Einkommens- und Vermögensverhältnisse und mit der Festlegung von Einkommensgrenzen bringt das GIVU zum Ausdruck, dass die Bevorschussung durch das Gemeinwesen lediglich subsidiärer Natur ist (vgl. BGE 112 Ia 256 f.). Die Bevorschussung soll grundsätzlich nur dort zum Tragen kommen, wo die wirtschaftlichen Verhältnisse des Kindes bzw. des obhutsberechtigten Elternteils dies notwendig machen.</w:t>
      </w:r>
    </w:p>
    <w:p>
      <w:r>
        <w:rPr>
          <w:b/>
        </w:rPr>
        <w:t>E. 2</w:t>
      </w:r>
    </w:p>
    <w:p>
      <w:r>
        <w:t>Umstritten ist die Frage, ob bzw. seit wann zwischen der Rekurrentin und ihrem Freund ein Konkubinat im Sinn von Art. 4 bis Abs. 1 GIVU besteht. 2.1   Das Versicherungsgericht hat in seiner bisherigen Rechtsprechung in Anlehnung an die Auslegung des Begriffs im Bereich des Familien- und insbesondere Ehescheidungsrechts erwogen, dass das Konkubinat eine auf Dauer angelegte, nach dem Willen der Parteien nicht zum Voraus festgelegte Wohn-, Tisch- und Bettgemeinschaft mit grundsätzlichem Ausschliesslichkeitscharakter zweier Personen im Rahmen einer Lebensgemeinschaft sei. Da jedoch - anders als beim nachehelichen Unterhaltsanspruch gemäss aArt. 153 Abs. 1 ZGB (heute: Art. 130 Abs. 2 ZGB) - im Bereich des GIVU das Vorliegen eines Konkubinats nicht zur Folge habe, dass das Recht auf Bevorschussung von Kinderunterhaltsbeiträgen gemäss Art. 2 ff. GIVU definitiv untergehe, rechtfertige es sich nicht, erst bei einer Dauer von mindestens fünf Jahren von einer auf Dauer angelegten Lebensgemeinschaft auszugehen. Die Lebensgemeinschaft müsse sich jedoch nach aussen hin als bereits gefestigt und auf eine dauerhafte Beziehung ausgerichtet manifestiert haben (Urteile des Versicherungsgerichts des Kantons St. Gallen vom 29. Juni 2001, ABV 2001/1 und vom 26. Oktober 2001, ABV 2001/2). Mit Urteil vom 26. Oktober 2001, ABV 2001/4 hat das Versicherungsgericht seine Rechtsprechung präzisiert. Es hat erwogen, dass mit der Bevorschussung eine finanzielle Notlage vor allem alleinstehender Mütter verhindert werden soll. Wenn nun eine alleinstehende Mutter ein Konkubinat eingehe, dann könne sich ihre wirtschaftliche Situation verbessern. Dies nicht zu berücksichtigen hiesse, eine nicht gerechtfertigte Ungleichbehandlung gegenüber allein-stehenden obhutsberechtigten Elternteilen, die sich in einer finanziellen Notlage befinden, zu dulden. Es gebe denn auch zahlreiche andere Kantone, welche bei der Alimentenbevorschussung das Einkommen eines Konkubinatspartners ebenfalls anrechneten. Grundsätzlich könne davon ausgegangen werden, dass sich die wirtschaftlich-finanzielle Situation der obhutsberechtigten Mutter bereits von dem Zeitpunkt an ändere, in dem sie mit dem Lebenspartner zusammenziehe. Das Zusammenziehen zweier Personen im Rahmen einer Lebenspartnerschaft und die damit verbundene Begründung eines gemeinsamen Haushalts sei im Sinn des GIVU als Beginn des Konkubinats zu betrachten mit der Folge, dass das Einkommen (einschliesslich Vermögen) des Konkubinatspartners des obhutsberechtigten Elternteils bei der Berechnung des Bevorschussungsanspruchs zu berücksichtigen sei. Das kantonale Verwaltungsgericht hat diesen Entscheid am 19. März 2002 bestätigt. Das Bundesgericht hat schliesslich mit Urteil vom 6. November 2002 (1P. 254/2002) eine dagegen gerichtete staatsrechtliche Beschwerde abgewiesen (BGE 129 I 1 ff.). Das Versicherungsgericht hat bei seiner präzisierten Rechtsprechung nicht übersehen, dass es damit in etlichen Fällen für die Dauer des Zusammenlebens dazu führen kann, dass ein Anspruch auf Bevorschussung entfällt. Mit Blick darauf, dass der Anspruch jedoch wieder auflebt, sobald der gemeinsame Haushalt aufgelöst wird und die Berechnung ergibt, dass das anrechenbare Einkommen - nach Wegfall der wirtschaftlichen Verhältnisse des Konkubinatspartners - die gesetzlich massgebende Grenze unterschreitet, hielt es das Ergebnis für sachlogisch. An dieser präzisierten Rechtsprechung ist auch im vorliegenden Fall festzuhalten. 2.2   Es ist unbestritten, dass die Rekurrentin seit 1. Oktober 2008 gemeinsam mit ihrem Freund in Y.___ lebt (act. G 7.15). Sie hat denn auch per 1. Oktober 2008 zusammen mit ihrem Freund eine Wohnung inklusive Tiefgaragenplatz für Fr. 1'940.-- gemietet, und zwar mit einer Mindestmietdauer von einem Jahr (act. G 6 Beilagen). Bereits vor dem Umzug nach Y.___ lebten die beiden zusammen in einer Wohngemeinschaft in Z.___, wobei den Akten nicht zu entnehmen ist, ob der damaligen Wohngemeinschaft noch weitere Personen angehörten. Was den Beginn der zwischen der Rekurrentin und ihrem Freund bestehenden Liebesbeziehung anbelangt, so gab die damalige Rechtsvertreterin der Rekurrentin am 28. Oktober 2008 an, dass diese erst seit "ein paar Monaten" mit ihrem neuen Freund "zusammen" sei (act. G 7.6). Die Rekurrentin lebte demnach bereits vor dem Umzug nach Y.___ - wenigstens schon während einer kurzen Zeitspanne - im Rahmen einer Liebesbeziehung mit ihrem Freund zusammen. Jedenfalls besteht anerkanntermassen seit 1. Oktober 2008 ein solches Konkubinat. Damit kann offen bleiben, ob eine Liebesbeziehung zwischen ihr und dem Vater ihrer Tochter zu Beginn der Wohngemeinschaft in Z.___ einer Liebesbeziehung mit ihrem Wohngemeinschaftspartner entgegengestanden sei, wie sie im späteren Verfahren geltend gemacht hat (act. G 11). 2.3   Angesichts dessen, dass die Rekurrentin und ihr Freund im Rahmen einer Liebesbeziehung am 1. Oktober 2008 in Y.___ zusammenzogen, ist nicht zu beanstanden, dass die Vorinstanz bei der Ermittlung des Anspruchs auf Alimentenbevorschussung ab 1. Oktober 2008 die wirtschaftlichen Verhältnisse des Konkubinatspartners einbezogen hat.</w:t>
      </w:r>
    </w:p>
    <w:p>
      <w:r>
        <w:rPr>
          <w:b/>
        </w:rPr>
        <w:t>E. 3</w:t>
      </w:r>
    </w:p>
    <w:p>
      <w:r>
        <w:t>Gegen die Berechnungen der Alimentenbevorschussung durch die Vorinstanz erhob die Rekurrentin nur insofern Einwände, als sie die Nichtbeachtung der - nach ihrer Sicht - allgemeinverbindlichen SKOS-Richtlinien rügt. Diese stellen nach ihrer Auffassung Mindestvorschriften für die Berechnung der Alimentenbevorschussung dar. Deshalb müsse bei der Berechnung der Alimentenbevorschussung ein Einkommensfreibetrag gewährt werden, selbst wenn das im GIVU nicht explizit erwähnt werde (act. G 1, S. 6). Bei ihrer Argumentation verkennt die Rekurrentin, dass im Kanton St. Gallen die SKOS-Richtlinien bislang mit Rücksicht auf die Gemeindeautonomie nicht als verbindlich erklärt wurden (vgl. die schriftliche Antwort der Regierung vom 29. Januar 2008 zur Interpellation der SVP-Fraktion vom 26. November 2007, Schwelleneffekte bei der Sozialhilfe, Geschäftsnummer 51.07.86; vgl. auch GVP 2007 Nr. 14 E. 3.1) und die Berechnung - entsprechend der von der Vorinstanz vorgenommenen - einzig nach den Bestimmungen des GIVU (vgl. vorstehende E. 1.1) zu erfolgen hat. Die Rekurrentin benennt an der Berechnung der Alimentenbevorschussung keine weiteren Mängel. Aus den einlässlich begründeten Berechnungen der Vorinstanz (act. G 7.12 f.) ergeben sich auch keine.</w:t>
      </w:r>
    </w:p>
    <w:p>
      <w:r>
        <w:rPr>
          <w:b/>
        </w:rPr>
        <w:t>E. 4</w:t>
      </w:r>
    </w:p>
    <w:p>
      <w:r>
        <w:t>4.1   Nach dem Gesagten ist der Rekurs abzuweisen. 4.2   Der Rekurrentin wurde die unentgeltliche Rechtspflege und Rechtsverbeiständung am 18. Juni 2009 (act. G 8) bewilligt. Wenn die wirtschaftlichen Verhältnisse der Rekurrentin es gestatten, kann sie jedoch zur Nachzahlung der Gerichtskosten, der Auslagen für die Vertretung und der vom Staat entschädigten Parteikosten verpflichtet werden (Art. 288 Abs. 1 ZPO/SG i.V.m. Art. 99 Abs. 2 VRP/SG). 4.3   Im kantonalrechtlichen Verfahren hat in Streitigkeiten jener Beteiligte die Kosten zu tragen, dessen Begehren ganz oder teilweise abgewiesen werden (Art. 95 Abs. 1 VRP). Der unterliegenden Rekurrentin sind damit die Gerichtskosten in der Höhe von Fr. 500.-- aufzuerlegen. Zufolge unentgeltlicher Rechtspflege ist sie von der Bezahlung zu befreien. 4.4   Der Staat ist zufolge der unentgeltlichen Rechtsverbeiständung zu verpflichten, für die Kosten der Rechtsvertretung der Rekurrentin aufzukommen. In der Verwaltungsrechtspflege beträgt das Honorar vor Versicherungsgericht nach Art. 22 Abs. 1 lit. b  HonO pauschal Fr. 1'000.-- bis Fr. 12'000.--. Der Rechtsvertreter der Rekurrentin verzichtete auf das Einreichen einer Kostennote. In der vorliegend zu beurteilenden Angelegenheit erscheint eine Parteientschädigung von Fr. 2'500.-- (einschliesslich Mehrwertsteuer und Barauslagen) angemessen. Diese ist um einen Fünftel zu kürzen (Art. 31 Abs. 3 AnwG). Somit hat der Staat den Rechtsvertreter der Rekurrentin pauschal mit Fr. 2'000.-- zu entschädigen. Demgemäss hat das Versicherungsgericht im Zirkulationsverfahren gemäss Art. 53 GerG entschieden: 1.      Der Rekurs wird abgewiesen. 2.      Die Rekurrentin wird im Sinn der Erwägungen von der Bezahlung der Gerichtskosten von Fr. 500.-- befreit. 3.      Der Staat hat den Rechtsvertreter der Rekurrentin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